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B3" w:rsidRPr="005E14B3" w:rsidRDefault="005E14B3" w:rsidP="005E14B3">
      <w:pP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FFFFFF"/>
          <w:kern w:val="36"/>
          <w:sz w:val="17"/>
          <w:szCs w:val="17"/>
          <w:lang w:eastAsia="es-EC"/>
        </w:rPr>
      </w:pPr>
      <w:r w:rsidRPr="005E14B3">
        <w:rPr>
          <w:rFonts w:ascii="Arial" w:eastAsia="Times New Roman" w:hAnsi="Arial" w:cs="Arial"/>
          <w:b/>
          <w:bCs/>
          <w:caps/>
          <w:color w:val="FFFFFF"/>
          <w:kern w:val="36"/>
          <w:sz w:val="17"/>
          <w:szCs w:val="17"/>
          <w:lang w:eastAsia="es-EC"/>
        </w:rPr>
        <w:t>DETALLE DE NOTICIA</w:t>
      </w:r>
    </w:p>
    <w:p w:rsidR="005E14B3" w:rsidRPr="005E14B3" w:rsidRDefault="005E14B3" w:rsidP="005E14B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C"/>
        </w:rPr>
      </w:pPr>
      <w:r w:rsidRPr="005E14B3">
        <w:rPr>
          <w:rFonts w:ascii="Arial" w:eastAsia="Times New Roman" w:hAnsi="Arial" w:cs="Arial"/>
          <w:vanish/>
          <w:sz w:val="16"/>
          <w:szCs w:val="16"/>
          <w:lang w:eastAsia="es-EC"/>
        </w:rPr>
        <w:t>Principio del formulario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8"/>
      </w:tblGrid>
      <w:tr w:rsidR="005E14B3" w:rsidRPr="005E14B3" w:rsidTr="005E14B3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14B3" w:rsidRPr="005E14B3" w:rsidRDefault="005E14B3" w:rsidP="005E14B3">
            <w:pPr>
              <w:spacing w:after="0" w:line="240" w:lineRule="auto"/>
              <w:divId w:val="785387066"/>
              <w:rPr>
                <w:rFonts w:ascii="Times New Roman" w:eastAsia="Times New Roman" w:hAnsi="Times New Roman" w:cs="Times New Roman"/>
                <w:b/>
                <w:bCs/>
                <w:caps/>
                <w:color w:val="666666"/>
                <w:sz w:val="15"/>
                <w:szCs w:val="15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b/>
                <w:bCs/>
                <w:caps/>
                <w:color w:val="666666"/>
                <w:sz w:val="15"/>
                <w:szCs w:val="15"/>
                <w:lang w:eastAsia="es-EC"/>
              </w:rPr>
              <w:t>DICIEMBRE 28, 2016</w:t>
            </w:r>
          </w:p>
        </w:tc>
      </w:tr>
      <w:tr w:rsidR="005E14B3" w:rsidRPr="005E14B3" w:rsidTr="005E14B3">
        <w:trPr>
          <w:jc w:val="center"/>
        </w:trPr>
        <w:tc>
          <w:tcPr>
            <w:tcW w:w="0" w:type="auto"/>
            <w:tcMar>
              <w:top w:w="18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14B3" w:rsidRPr="005E14B3" w:rsidRDefault="005E14B3" w:rsidP="005E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74491"/>
                <w:sz w:val="18"/>
                <w:szCs w:val="18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b/>
                <w:bCs/>
                <w:color w:val="274491"/>
                <w:sz w:val="18"/>
                <w:szCs w:val="18"/>
                <w:lang w:eastAsia="es-EC"/>
              </w:rPr>
              <w:t>SRI ACTUALIZA TABLA DE IMPUESTO A LA RENTA PARA EL 2017</w:t>
            </w:r>
          </w:p>
        </w:tc>
      </w:tr>
      <w:tr w:rsidR="005E14B3" w:rsidRPr="005E14B3" w:rsidTr="005E14B3">
        <w:trPr>
          <w:jc w:val="center"/>
        </w:trPr>
        <w:tc>
          <w:tcPr>
            <w:tcW w:w="0" w:type="auto"/>
            <w:tcMar>
              <w:top w:w="180" w:type="dxa"/>
              <w:left w:w="0" w:type="dxa"/>
              <w:bottom w:w="0" w:type="dxa"/>
              <w:right w:w="0" w:type="dxa"/>
            </w:tcMar>
            <w:hideMark/>
          </w:tcPr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Mediante resolución NAC-DGERGCG16-00000507 del 21 de diciembre de 2016, el Servicio de Rentas Internas actualizó la tabla para liquidar el Impuesto a la Renta de las personas naturales, sucesiones indivisas e incrementos patrimoniales provenientes de herencias, legados, donaciones, hallazgos y todo tipo de acto o contrato por el cual se adquiera el dominio a título gratuito, de bienes y derechos, que corresponderá al ejercicio fiscal 2017.</w:t>
            </w:r>
            <w:bookmarkStart w:id="0" w:name="_GoBack"/>
            <w:bookmarkEnd w:id="0"/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Para la liquidación del Impuesto a la Renta para los ingresos percibidos por las personas naturales y sucesiones indivisas, se utilizará la siguiente tabla:</w:t>
            </w:r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C"/>
              </w:rPr>
              <w:drawing>
                <wp:inline distT="0" distB="0" distL="0" distR="0">
                  <wp:extent cx="5262245" cy="2536190"/>
                  <wp:effectExtent l="0" t="0" r="0" b="0"/>
                  <wp:docPr id="3" name="Imagen 3" descr="http://www.sri.gob.ec/DocumentosAlfrescoPortlet/descargar/f0252a79-5478-4abf-9caa-2b39d2ee8ce2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ri.gob.ec/DocumentosAlfrescoPortlet/descargar/f0252a79-5478-4abf-9caa-2b39d2ee8ce2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2245" cy="253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Para la liquidación del Impuesto a la Renta por incrementos patrimoniales provenientes de herencias, legados, donaciones, hallazgos y todo tipo de acto o contrato por el cual se adquiera el dominio a título gratuito, de bienes y derechos, se utilizará la siguiente tabla:</w:t>
            </w:r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C"/>
              </w:rPr>
              <w:drawing>
                <wp:inline distT="0" distB="0" distL="0" distR="0">
                  <wp:extent cx="5262245" cy="2372360"/>
                  <wp:effectExtent l="0" t="0" r="0" b="8890"/>
                  <wp:docPr id="2" name="Imagen 2" descr="http://www.sri.gob.ec/DocumentosAlfrescoPortlet/descargar/fa0e5bcb-7d2d-4687-a497-fd83304c0fb0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ri.gob.ec/DocumentosAlfrescoPortlet/descargar/fa0e5bcb-7d2d-4687-a497-fd83304c0fb0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2245" cy="237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lastRenderedPageBreak/>
              <w:t>Estos valores se los determina a partir de la variación anual del índice de Precios al Consumidor de Área Urbana dictado por el INEC al 30 de noviembre de 2016.</w:t>
            </w:r>
          </w:p>
          <w:p w:rsidR="005E14B3" w:rsidRPr="005E14B3" w:rsidRDefault="005E14B3" w:rsidP="005E14B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Para más información puede ingresar a la página web del SRI</w:t>
            </w:r>
            <w:r w:rsidRPr="005E14B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s-EC"/>
              </w:rPr>
              <w:t> www.sri.gob.ec</w:t>
            </w: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o comunicarse al </w:t>
            </w:r>
            <w:r w:rsidRPr="005E14B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es-EC"/>
              </w:rPr>
              <w:t>1700 774 774.</w:t>
            </w:r>
            <w:r w:rsidRPr="005E14B3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br/>
              <w:t> </w:t>
            </w:r>
          </w:p>
        </w:tc>
      </w:tr>
      <w:tr w:rsidR="005E14B3" w:rsidRPr="005E14B3" w:rsidTr="005E14B3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14B3" w:rsidRPr="005E14B3" w:rsidRDefault="005E14B3" w:rsidP="005E14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</w:tr>
      <w:tr w:rsidR="005E14B3" w:rsidRPr="005E14B3" w:rsidTr="005E14B3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14B3" w:rsidRPr="005E14B3" w:rsidRDefault="00832A10" w:rsidP="005E1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hyperlink r:id="rId7" w:history="1">
              <w:r w:rsidR="005E14B3" w:rsidRPr="005E14B3">
                <w:rPr>
                  <w:rFonts w:ascii="Times New Roman" w:eastAsia="Times New Roman" w:hAnsi="Times New Roman" w:cs="Times New Roman"/>
                  <w:color w:val="800080"/>
                  <w:sz w:val="24"/>
                  <w:szCs w:val="24"/>
                  <w:u w:val="single"/>
                  <w:lang w:eastAsia="es-EC"/>
                </w:rPr>
                <w:t>Atrás</w:t>
              </w:r>
            </w:hyperlink>
          </w:p>
        </w:tc>
      </w:tr>
    </w:tbl>
    <w:p w:rsidR="005E14B3" w:rsidRPr="005E14B3" w:rsidRDefault="005E14B3" w:rsidP="005E14B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C"/>
        </w:rPr>
      </w:pPr>
      <w:r w:rsidRPr="005E14B3">
        <w:rPr>
          <w:rFonts w:ascii="Arial" w:eastAsia="Times New Roman" w:hAnsi="Arial" w:cs="Arial"/>
          <w:vanish/>
          <w:sz w:val="16"/>
          <w:szCs w:val="16"/>
          <w:lang w:eastAsia="es-EC"/>
        </w:rPr>
        <w:t>Final del formulario</w:t>
      </w:r>
    </w:p>
    <w:p w:rsidR="005E14B3" w:rsidRPr="005E14B3" w:rsidRDefault="005E14B3" w:rsidP="005E14B3">
      <w:pPr>
        <w:shd w:val="clear" w:color="auto" w:fill="FFFFFF"/>
        <w:spacing w:after="150" w:line="165" w:lineRule="atLeast"/>
        <w:rPr>
          <w:rFonts w:ascii="Arial" w:eastAsia="Times New Roman" w:hAnsi="Arial" w:cs="Arial"/>
          <w:color w:val="000000"/>
          <w:sz w:val="15"/>
          <w:szCs w:val="15"/>
          <w:lang w:eastAsia="es-EC"/>
        </w:rPr>
      </w:pPr>
      <w:r>
        <w:rPr>
          <w:rFonts w:ascii="Arial" w:eastAsia="Times New Roman" w:hAnsi="Arial" w:cs="Arial"/>
          <w:b/>
          <w:bCs/>
          <w:noProof/>
          <w:color w:val="2686CA"/>
          <w:sz w:val="18"/>
          <w:szCs w:val="18"/>
          <w:lang w:eastAsia="es-EC"/>
        </w:rPr>
        <w:drawing>
          <wp:inline distT="0" distB="0" distL="0" distR="0">
            <wp:extent cx="2191385" cy="1371600"/>
            <wp:effectExtent l="0" t="0" r="0" b="0"/>
            <wp:docPr id="1" name="Imagen 1" descr="SRI ESTÁ AL DÍA EN LA DEVOLUCIÓN DE IMPUESTOS A TODOS LOS CONTRIBUYENTES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RI ESTÁ AL DÍA EN LA DEVOLUCIÓN DE IMPUESTOS A TODOS LOS CONTRIBUYENTE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575" w:rsidRDefault="00DC1575"/>
    <w:sectPr w:rsidR="00DC15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B3"/>
    <w:rsid w:val="005E14B3"/>
    <w:rsid w:val="00832A10"/>
    <w:rsid w:val="00DC1575"/>
    <w:rsid w:val="00F8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E1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14B3"/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character" w:customStyle="1" w:styleId="portlet-title-text">
    <w:name w:val="portlet-title-text"/>
    <w:basedOn w:val="Fuentedeprrafopredeter"/>
    <w:rsid w:val="005E14B3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E14B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C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E14B3"/>
    <w:rPr>
      <w:rFonts w:ascii="Arial" w:eastAsia="Times New Roman" w:hAnsi="Arial" w:cs="Arial"/>
      <w:vanish/>
      <w:sz w:val="16"/>
      <w:szCs w:val="16"/>
      <w:lang w:eastAsia="es-EC"/>
    </w:rPr>
  </w:style>
  <w:style w:type="paragraph" w:styleId="NormalWeb">
    <w:name w:val="Normal (Web)"/>
    <w:basedOn w:val="Normal"/>
    <w:uiPriority w:val="99"/>
    <w:unhideWhenUsed/>
    <w:rsid w:val="005E1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apple-converted-space">
    <w:name w:val="apple-converted-space"/>
    <w:basedOn w:val="Fuentedeprrafopredeter"/>
    <w:rsid w:val="005E14B3"/>
  </w:style>
  <w:style w:type="character" w:styleId="Hipervnculo">
    <w:name w:val="Hyperlink"/>
    <w:basedOn w:val="Fuentedeprrafopredeter"/>
    <w:uiPriority w:val="99"/>
    <w:semiHidden/>
    <w:unhideWhenUsed/>
    <w:rsid w:val="005E14B3"/>
    <w:rPr>
      <w:color w:val="0000FF"/>
      <w:u w:val="single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E14B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C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E14B3"/>
    <w:rPr>
      <w:rFonts w:ascii="Arial" w:eastAsia="Times New Roman" w:hAnsi="Arial" w:cs="Arial"/>
      <w:vanish/>
      <w:sz w:val="16"/>
      <w:szCs w:val="16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1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1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E1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E14B3"/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character" w:customStyle="1" w:styleId="portlet-title-text">
    <w:name w:val="portlet-title-text"/>
    <w:basedOn w:val="Fuentedeprrafopredeter"/>
    <w:rsid w:val="005E14B3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E14B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C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E14B3"/>
    <w:rPr>
      <w:rFonts w:ascii="Arial" w:eastAsia="Times New Roman" w:hAnsi="Arial" w:cs="Arial"/>
      <w:vanish/>
      <w:sz w:val="16"/>
      <w:szCs w:val="16"/>
      <w:lang w:eastAsia="es-EC"/>
    </w:rPr>
  </w:style>
  <w:style w:type="paragraph" w:styleId="NormalWeb">
    <w:name w:val="Normal (Web)"/>
    <w:basedOn w:val="Normal"/>
    <w:uiPriority w:val="99"/>
    <w:unhideWhenUsed/>
    <w:rsid w:val="005E1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customStyle="1" w:styleId="apple-converted-space">
    <w:name w:val="apple-converted-space"/>
    <w:basedOn w:val="Fuentedeprrafopredeter"/>
    <w:rsid w:val="005E14B3"/>
  </w:style>
  <w:style w:type="character" w:styleId="Hipervnculo">
    <w:name w:val="Hyperlink"/>
    <w:basedOn w:val="Fuentedeprrafopredeter"/>
    <w:uiPriority w:val="99"/>
    <w:semiHidden/>
    <w:unhideWhenUsed/>
    <w:rsid w:val="005E14B3"/>
    <w:rPr>
      <w:color w:val="0000FF"/>
      <w:u w:val="single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E14B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C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E14B3"/>
    <w:rPr>
      <w:rFonts w:ascii="Arial" w:eastAsia="Times New Roman" w:hAnsi="Arial" w:cs="Arial"/>
      <w:vanish/>
      <w:sz w:val="16"/>
      <w:szCs w:val="16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1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1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6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0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666666"/>
                            <w:right w:val="none" w:sz="0" w:space="0" w:color="auto"/>
                          </w:divBdr>
                        </w:div>
                        <w:div w:id="23574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551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9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72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1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i.gob.ec/web/guest/detalle?idnoticia=413&amp;marquesina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ri.gob.ec/web/gues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NILO</cp:lastModifiedBy>
  <cp:revision>2</cp:revision>
  <dcterms:created xsi:type="dcterms:W3CDTF">2017-03-30T14:13:00Z</dcterms:created>
  <dcterms:modified xsi:type="dcterms:W3CDTF">2017-03-30T14:13:00Z</dcterms:modified>
</cp:coreProperties>
</file>